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3310" w14:textId="7E27ED33" w:rsidR="00013951" w:rsidRPr="0006674E" w:rsidRDefault="001D4DFF" w:rsidP="00013951">
      <w:pPr>
        <w:spacing w:line="60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1.1 </w:t>
      </w:r>
      <w:r w:rsidR="00013951" w:rsidRPr="0006674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Covariate and Exposures </w:t>
      </w:r>
    </w:p>
    <w:p w14:paraId="53A2ADD9" w14:textId="3F53E518" w:rsidR="00013951" w:rsidRDefault="00013951" w:rsidP="00013951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06674E">
        <w:rPr>
          <w:rFonts w:ascii="Times New Roman" w:hAnsi="Times New Roman" w:cs="Times New Roman"/>
          <w:sz w:val="24"/>
          <w:szCs w:val="24"/>
        </w:rPr>
        <w:t>Covariate included</w:t>
      </w:r>
      <w:r w:rsidRPr="000667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674E">
        <w:rPr>
          <w:rFonts w:ascii="Times New Roman" w:hAnsi="Times New Roman" w:cs="Times New Roman"/>
          <w:sz w:val="24"/>
          <w:szCs w:val="24"/>
        </w:rPr>
        <w:t>age, gender, race, STS risk of mortality, creatinine</w:t>
      </w:r>
      <w:r>
        <w:rPr>
          <w:rFonts w:ascii="Times New Roman" w:hAnsi="Times New Roman" w:cs="Times New Roman"/>
          <w:sz w:val="24"/>
          <w:szCs w:val="24"/>
        </w:rPr>
        <w:t xml:space="preserve"> level</w:t>
      </w:r>
      <w:r w:rsidRPr="0006674E">
        <w:rPr>
          <w:rFonts w:ascii="Times New Roman" w:hAnsi="Times New Roman" w:cs="Times New Roman"/>
          <w:sz w:val="24"/>
          <w:szCs w:val="24"/>
        </w:rPr>
        <w:t>, comorbidities such as preop</w:t>
      </w:r>
      <w:r>
        <w:rPr>
          <w:rFonts w:ascii="Times New Roman" w:hAnsi="Times New Roman" w:cs="Times New Roman"/>
          <w:sz w:val="24"/>
          <w:szCs w:val="24"/>
        </w:rPr>
        <w:t>erative</w:t>
      </w:r>
      <w:r w:rsidRPr="0006674E">
        <w:rPr>
          <w:rFonts w:ascii="Times New Roman" w:hAnsi="Times New Roman" w:cs="Times New Roman"/>
          <w:sz w:val="24"/>
          <w:szCs w:val="24"/>
        </w:rPr>
        <w:t xml:space="preserve"> dialysis, smoking, chronic obstructive pulmonary disease, hypertension, dyslipidemia, cerebrovascular disease, peripheral vascular disease, liver disease and diabetes. Preoperative cardiothoracic history included mediastinal radiation, prior percutaneous coronary intervention, prior </w:t>
      </w:r>
      <w:r w:rsidR="000B7ADF">
        <w:rPr>
          <w:rFonts w:ascii="Times New Roman" w:hAnsi="Times New Roman" w:cs="Times New Roman"/>
          <w:sz w:val="24"/>
          <w:szCs w:val="24"/>
        </w:rPr>
        <w:t>coronary artery bypass grafting (</w:t>
      </w:r>
      <w:r w:rsidRPr="0006674E">
        <w:rPr>
          <w:rFonts w:ascii="Times New Roman" w:hAnsi="Times New Roman" w:cs="Times New Roman"/>
          <w:sz w:val="24"/>
          <w:szCs w:val="24"/>
        </w:rPr>
        <w:t>CABG</w:t>
      </w:r>
      <w:r w:rsidR="000B7ADF">
        <w:rPr>
          <w:rFonts w:ascii="Times New Roman" w:hAnsi="Times New Roman" w:cs="Times New Roman"/>
          <w:sz w:val="24"/>
          <w:szCs w:val="24"/>
        </w:rPr>
        <w:t>)</w:t>
      </w:r>
      <w:r w:rsidRPr="0006674E">
        <w:rPr>
          <w:rFonts w:ascii="Times New Roman" w:hAnsi="Times New Roman" w:cs="Times New Roman"/>
          <w:sz w:val="24"/>
          <w:szCs w:val="24"/>
        </w:rPr>
        <w:t xml:space="preserve">, prior myocardial infarction, prior valve surgery, atrial fibrillation, ejection fraction, number of diseased vessels, left main </w:t>
      </w:r>
      <w:r>
        <w:rPr>
          <w:rFonts w:ascii="Times New Roman" w:hAnsi="Times New Roman" w:cs="Times New Roman"/>
          <w:sz w:val="24"/>
          <w:szCs w:val="24"/>
        </w:rPr>
        <w:t xml:space="preserve">coronary artery </w:t>
      </w:r>
      <w:r w:rsidRPr="0006674E">
        <w:rPr>
          <w:rFonts w:ascii="Times New Roman" w:hAnsi="Times New Roman" w:cs="Times New Roman"/>
          <w:sz w:val="24"/>
          <w:szCs w:val="24"/>
        </w:rPr>
        <w:t>stenosis, severe proximal left anterior descending lesion, internal mammary artery, and radial artery</w:t>
      </w:r>
      <w:r>
        <w:rPr>
          <w:rFonts w:ascii="Times New Roman" w:hAnsi="Times New Roman" w:cs="Times New Roman"/>
          <w:sz w:val="24"/>
          <w:szCs w:val="24"/>
        </w:rPr>
        <w:t xml:space="preserve"> graft use</w:t>
      </w:r>
      <w:r w:rsidRPr="0006674E">
        <w:rPr>
          <w:rFonts w:ascii="Times New Roman" w:hAnsi="Times New Roman" w:cs="Times New Roman"/>
          <w:sz w:val="24"/>
          <w:szCs w:val="24"/>
        </w:rPr>
        <w:t xml:space="preserve">. </w:t>
      </w:r>
      <w:r w:rsidR="008C674E">
        <w:rPr>
          <w:rFonts w:ascii="Times New Roman" w:hAnsi="Times New Roman" w:cs="Times New Roman"/>
          <w:sz w:val="24"/>
          <w:szCs w:val="24"/>
        </w:rPr>
        <w:t xml:space="preserve"> It also included </w:t>
      </w:r>
      <w:r w:rsidRPr="0006674E">
        <w:rPr>
          <w:rFonts w:ascii="Times New Roman" w:hAnsi="Times New Roman" w:cs="Times New Roman"/>
          <w:sz w:val="24"/>
          <w:szCs w:val="24"/>
        </w:rPr>
        <w:t>procedure characteristics, including saphenous vein grafts, number of grafts, type of CABG (multi-arterial, total arterial revascularization,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674E">
        <w:rPr>
          <w:rFonts w:ascii="Times New Roman" w:hAnsi="Times New Roman" w:cs="Times New Roman"/>
          <w:sz w:val="24"/>
          <w:szCs w:val="24"/>
        </w:rPr>
        <w:t>and surgery priority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6674E">
        <w:rPr>
          <w:rFonts w:ascii="Times New Roman" w:hAnsi="Times New Roman" w:cs="Times New Roman"/>
          <w:sz w:val="24"/>
          <w:szCs w:val="24"/>
        </w:rPr>
        <w:t xml:space="preserve">. We then </w:t>
      </w:r>
      <w:r w:rsidR="008C674E">
        <w:rPr>
          <w:rFonts w:ascii="Times New Roman" w:hAnsi="Times New Roman" w:cs="Times New Roman"/>
          <w:sz w:val="24"/>
          <w:szCs w:val="24"/>
        </w:rPr>
        <w:t xml:space="preserve">collected </w:t>
      </w:r>
      <w:r w:rsidRPr="0006674E">
        <w:rPr>
          <w:rFonts w:ascii="Times New Roman" w:hAnsi="Times New Roman" w:cs="Times New Roman"/>
          <w:sz w:val="24"/>
          <w:szCs w:val="24"/>
        </w:rPr>
        <w:t xml:space="preserve">intra-operative and post-operative outcomes, time in operating room, blood transfusions, </w:t>
      </w:r>
      <w:proofErr w:type="spellStart"/>
      <w:r w:rsidRPr="0006674E">
        <w:rPr>
          <w:rFonts w:ascii="Times New Roman" w:hAnsi="Times New Roman" w:cs="Times New Roman"/>
          <w:sz w:val="24"/>
          <w:szCs w:val="24"/>
        </w:rPr>
        <w:t>extubation</w:t>
      </w:r>
      <w:proofErr w:type="spellEnd"/>
      <w:r w:rsidRPr="0006674E">
        <w:rPr>
          <w:rFonts w:ascii="Times New Roman" w:hAnsi="Times New Roman" w:cs="Times New Roman"/>
          <w:sz w:val="24"/>
          <w:szCs w:val="24"/>
        </w:rPr>
        <w:t xml:space="preserve"> in </w:t>
      </w:r>
      <w:r w:rsidR="000B7ADF">
        <w:rPr>
          <w:rFonts w:ascii="Times New Roman" w:hAnsi="Times New Roman" w:cs="Times New Roman"/>
          <w:sz w:val="24"/>
          <w:szCs w:val="24"/>
        </w:rPr>
        <w:t>operating room</w:t>
      </w:r>
      <w:r w:rsidRPr="0006674E">
        <w:rPr>
          <w:rFonts w:ascii="Times New Roman" w:hAnsi="Times New Roman" w:cs="Times New Roman"/>
          <w:sz w:val="24"/>
          <w:szCs w:val="24"/>
        </w:rPr>
        <w:t xml:space="preserve">, intensive care unit </w:t>
      </w:r>
      <w:r>
        <w:rPr>
          <w:rFonts w:ascii="Times New Roman" w:hAnsi="Times New Roman" w:cs="Times New Roman"/>
          <w:sz w:val="24"/>
          <w:szCs w:val="24"/>
        </w:rPr>
        <w:t xml:space="preserve">stay </w:t>
      </w:r>
      <w:r w:rsidRPr="0006674E">
        <w:rPr>
          <w:rFonts w:ascii="Times New Roman" w:hAnsi="Times New Roman" w:cs="Times New Roman"/>
          <w:sz w:val="24"/>
          <w:szCs w:val="24"/>
        </w:rPr>
        <w:t>and total length of stay, post-operative stroke, infection, reoperation for bleeding, prolonged ventilation</w:t>
      </w:r>
      <w:r>
        <w:rPr>
          <w:rFonts w:ascii="Times New Roman" w:hAnsi="Times New Roman" w:cs="Times New Roman"/>
          <w:sz w:val="24"/>
          <w:szCs w:val="24"/>
        </w:rPr>
        <w:t xml:space="preserve"> (&gt; 24 hrs)</w:t>
      </w:r>
      <w:r w:rsidRPr="0006674E">
        <w:rPr>
          <w:rFonts w:ascii="Times New Roman" w:hAnsi="Times New Roman" w:cs="Times New Roman"/>
          <w:sz w:val="24"/>
          <w:szCs w:val="24"/>
        </w:rPr>
        <w:t xml:space="preserve">, renal failure, dialysis, </w:t>
      </w:r>
      <w:r>
        <w:rPr>
          <w:rFonts w:ascii="Times New Roman" w:hAnsi="Times New Roman" w:cs="Times New Roman"/>
          <w:sz w:val="24"/>
          <w:szCs w:val="24"/>
        </w:rPr>
        <w:t xml:space="preserve">postoperative </w:t>
      </w:r>
      <w:r w:rsidR="000B7ADF">
        <w:rPr>
          <w:rFonts w:ascii="Times New Roman" w:hAnsi="Times New Roman" w:cs="Times New Roman"/>
          <w:sz w:val="24"/>
          <w:szCs w:val="24"/>
        </w:rPr>
        <w:t>atrial fibrillation</w:t>
      </w:r>
      <w:r w:rsidRPr="0006674E">
        <w:rPr>
          <w:rFonts w:ascii="Times New Roman" w:hAnsi="Times New Roman" w:cs="Times New Roman"/>
          <w:sz w:val="24"/>
          <w:szCs w:val="24"/>
        </w:rPr>
        <w:t>, and 30-day readmissions.</w:t>
      </w:r>
    </w:p>
    <w:p w14:paraId="74F6E92D" w14:textId="7F91F995" w:rsidR="00A85740" w:rsidRPr="00A85740" w:rsidRDefault="00A85740" w:rsidP="00A85740">
      <w:pPr>
        <w:pStyle w:val="paragraph"/>
        <w:spacing w:before="0" w:beforeAutospacing="0" w:after="0" w:afterAutospacing="0" w:line="600" w:lineRule="auto"/>
        <w:ind w:firstLine="720"/>
        <w:jc w:val="both"/>
        <w:textAlignment w:val="baseline"/>
        <w:rPr>
          <w:rStyle w:val="normaltextrun"/>
          <w:b/>
          <w:bCs/>
          <w:u w:val="single"/>
          <w:lang w:val="en-US"/>
        </w:rPr>
      </w:pPr>
      <w:r w:rsidRPr="00A85740">
        <w:rPr>
          <w:rStyle w:val="normaltextrun"/>
          <w:b/>
          <w:bCs/>
          <w:u w:val="single"/>
          <w:lang w:val="en-US"/>
        </w:rPr>
        <w:t>1.</w:t>
      </w:r>
      <w:r w:rsidR="00AD00E2">
        <w:rPr>
          <w:rStyle w:val="normaltextrun"/>
          <w:b/>
          <w:bCs/>
          <w:u w:val="single"/>
          <w:lang w:val="en-US"/>
        </w:rPr>
        <w:t>2</w:t>
      </w:r>
      <w:r w:rsidRPr="00A85740">
        <w:rPr>
          <w:rStyle w:val="normaltextrun"/>
          <w:b/>
          <w:bCs/>
          <w:u w:val="single"/>
          <w:lang w:val="en-US"/>
        </w:rPr>
        <w:t xml:space="preserve"> Surgical Procedure</w:t>
      </w:r>
    </w:p>
    <w:p w14:paraId="287F55DA" w14:textId="523922BF" w:rsidR="00A85740" w:rsidRPr="008471BB" w:rsidRDefault="00A85740" w:rsidP="00A85740">
      <w:pPr>
        <w:pStyle w:val="paragraph"/>
        <w:spacing w:before="0" w:beforeAutospacing="0" w:after="0" w:afterAutospacing="0" w:line="600" w:lineRule="auto"/>
        <w:ind w:firstLine="720"/>
        <w:jc w:val="both"/>
        <w:textAlignment w:val="baseline"/>
      </w:pPr>
      <w:r w:rsidRPr="008471BB">
        <w:rPr>
          <w:rStyle w:val="normaltextrun"/>
          <w:lang w:val="en-US"/>
        </w:rPr>
        <w:t xml:space="preserve">Robotic-assisted CABG includes the robotic harvest of the </w:t>
      </w:r>
      <w:r>
        <w:rPr>
          <w:rStyle w:val="normaltextrun"/>
          <w:lang w:val="en-US"/>
        </w:rPr>
        <w:t>internal mammary artery (</w:t>
      </w:r>
      <w:r w:rsidRPr="008471BB">
        <w:rPr>
          <w:rStyle w:val="normaltextrun"/>
          <w:lang w:val="en-US"/>
        </w:rPr>
        <w:t>IMA</w:t>
      </w:r>
      <w:r>
        <w:rPr>
          <w:rStyle w:val="normaltextrun"/>
          <w:lang w:val="en-US"/>
        </w:rPr>
        <w:t>)</w:t>
      </w:r>
      <w:r w:rsidRPr="008471BB">
        <w:rPr>
          <w:rStyle w:val="normaltextrun"/>
          <w:lang w:val="en-US"/>
        </w:rPr>
        <w:t xml:space="preserve"> and its direct anastomosis to the coronary artery with a small anterior thoracotomy (</w:t>
      </w:r>
      <w:r>
        <w:rPr>
          <w:rStyle w:val="normaltextrun"/>
          <w:lang w:val="en-US"/>
        </w:rPr>
        <w:t>4</w:t>
      </w:r>
      <w:r w:rsidRPr="008471BB">
        <w:rPr>
          <w:rStyle w:val="normaltextrun"/>
          <w:lang w:val="en-US"/>
        </w:rPr>
        <w:t xml:space="preserve"> cm) at the </w:t>
      </w:r>
      <w:r w:rsidRPr="008471BB">
        <w:rPr>
          <w:rStyle w:val="normaltextrun"/>
          <w:lang w:val="en-US"/>
        </w:rPr>
        <w:lastRenderedPageBreak/>
        <w:t xml:space="preserve">site of the camera port. The robotic procedures started with the introduction of 3 ports in the midclavicular/anterior axillary line, in 2nd, 4th and 6th intercostal space. A camera and two lateral arms with surgical instruments are introduced and the surgeon sits on the robotic console while a table side assistant positions the robotic surgical instruments (Intuitive da Vinci® Robotic). The 3D view offered by the robotic platform enhances the visualization of the IMA, lowering the risk of vessel injury and enables the surgeon to harvest a longer IMA graft by means of skeletonization. If a second IMA is required, the surgeon can open the right pleura crossing the mediastinum and accessing the RIMA from the left side chest. Our technique is based on “incision-precision” (12) where the camera port is located at the precise site of the LAD landing zone. By extending the camera port size to a 4 cm skin incision, the surgeon can perform an off-pump coronary anastomosis using a composite off-pump retractor (Medtronic Octopus® </w:t>
      </w:r>
      <w:proofErr w:type="spellStart"/>
      <w:r w:rsidRPr="008471BB">
        <w:rPr>
          <w:rStyle w:val="normaltextrun"/>
          <w:lang w:val="en-US"/>
        </w:rPr>
        <w:t>Nuvo</w:t>
      </w:r>
      <w:proofErr w:type="spellEnd"/>
      <w:r w:rsidRPr="008471BB">
        <w:rPr>
          <w:rStyle w:val="normaltextrun"/>
          <w:lang w:val="en-US"/>
        </w:rPr>
        <w:t xml:space="preserve"> Tissue Stabilizer) and off-pump technique to complete the anastomosis.</w:t>
      </w:r>
      <w:r w:rsidRPr="008471BB">
        <w:rPr>
          <w:rStyle w:val="eop"/>
        </w:rPr>
        <w:t> </w:t>
      </w:r>
      <w:r>
        <w:rPr>
          <w:rStyle w:val="eop"/>
        </w:rPr>
        <w:t xml:space="preserve">In case two arterial grafts are utilized one side of the second arterial graft is anastomosed to the left internal thoracic artery (LITA) (in a Y or T shape anastomosis fashion) and the other side to the coronary targets (diagonal branch, intermediate branch, and obtuse marginal branch) either sequential or end-to-end. In case a vein graft is used, the proximal side is anastomosed to the LITA and the distal side to the other coronary targets. </w:t>
      </w:r>
    </w:p>
    <w:p w14:paraId="7814D92B" w14:textId="52DC4D91" w:rsidR="00FE40CB" w:rsidRDefault="00FE40CB" w:rsidP="009B0EF9">
      <w:pPr>
        <w:spacing w:line="600" w:lineRule="auto"/>
        <w:rPr>
          <w:rFonts w:ascii="Times New Roman" w:hAnsi="Times New Roman" w:cs="Times New Roman"/>
          <w:sz w:val="24"/>
          <w:szCs w:val="24"/>
        </w:rPr>
      </w:pPr>
    </w:p>
    <w:p w14:paraId="689892C2" w14:textId="6A151C6B" w:rsidR="00FE40CB" w:rsidRDefault="00FE40CB" w:rsidP="009B0EF9">
      <w:pPr>
        <w:spacing w:line="60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40CB">
        <w:rPr>
          <w:rFonts w:ascii="Times New Roman" w:hAnsi="Times New Roman" w:cs="Times New Roman"/>
          <w:b/>
          <w:bCs/>
          <w:sz w:val="24"/>
          <w:szCs w:val="24"/>
          <w:u w:val="single"/>
        </w:rPr>
        <w:t>1.</w:t>
      </w:r>
      <w:r w:rsidR="00AD00E2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FE40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Intra-venous Morphine Conversion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50F37" w14:paraId="2515F3A2" w14:textId="77777777" w:rsidTr="00550F37">
        <w:tc>
          <w:tcPr>
            <w:tcW w:w="3116" w:type="dxa"/>
            <w:vAlign w:val="center"/>
          </w:tcPr>
          <w:p w14:paraId="02BE42F3" w14:textId="51BC1677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Drug</w:t>
            </w:r>
          </w:p>
        </w:tc>
        <w:tc>
          <w:tcPr>
            <w:tcW w:w="3117" w:type="dxa"/>
            <w:vAlign w:val="center"/>
          </w:tcPr>
          <w:p w14:paraId="581B179A" w14:textId="709522A7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Equivalency to 1 mg IV Morphine</w:t>
            </w:r>
          </w:p>
        </w:tc>
        <w:tc>
          <w:tcPr>
            <w:tcW w:w="3117" w:type="dxa"/>
            <w:vAlign w:val="center"/>
          </w:tcPr>
          <w:p w14:paraId="2265590C" w14:textId="2CDFB338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Conversion Factor</w:t>
            </w:r>
          </w:p>
        </w:tc>
      </w:tr>
      <w:tr w:rsidR="00550F37" w14:paraId="69C2F010" w14:textId="77777777" w:rsidTr="00550F37">
        <w:tc>
          <w:tcPr>
            <w:tcW w:w="3116" w:type="dxa"/>
            <w:vAlign w:val="center"/>
          </w:tcPr>
          <w:p w14:paraId="56305243" w14:textId="3303B19C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Hydromorphone IV</w:t>
            </w:r>
          </w:p>
        </w:tc>
        <w:tc>
          <w:tcPr>
            <w:tcW w:w="3117" w:type="dxa"/>
            <w:vAlign w:val="center"/>
          </w:tcPr>
          <w:p w14:paraId="16D0A7F6" w14:textId="043518B2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0.15 mg</w:t>
            </w:r>
          </w:p>
        </w:tc>
        <w:tc>
          <w:tcPr>
            <w:tcW w:w="3117" w:type="dxa"/>
            <w:vAlign w:val="center"/>
          </w:tcPr>
          <w:p w14:paraId="5DC8571E" w14:textId="178F795D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</w:tr>
      <w:tr w:rsidR="00550F37" w14:paraId="31E51DEB" w14:textId="77777777" w:rsidTr="00550F37">
        <w:tc>
          <w:tcPr>
            <w:tcW w:w="3116" w:type="dxa"/>
            <w:vAlign w:val="center"/>
          </w:tcPr>
          <w:p w14:paraId="768091AA" w14:textId="604D8B8A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Fentanyl IV</w:t>
            </w:r>
          </w:p>
        </w:tc>
        <w:tc>
          <w:tcPr>
            <w:tcW w:w="3117" w:type="dxa"/>
            <w:vAlign w:val="center"/>
          </w:tcPr>
          <w:p w14:paraId="3D6130A0" w14:textId="7DBA5FFB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mCg</w:t>
            </w:r>
            <w:proofErr w:type="spellEnd"/>
          </w:p>
        </w:tc>
        <w:tc>
          <w:tcPr>
            <w:tcW w:w="3117" w:type="dxa"/>
            <w:vAlign w:val="center"/>
          </w:tcPr>
          <w:p w14:paraId="54934C5B" w14:textId="7441AEB3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</w:tr>
      <w:tr w:rsidR="00550F37" w14:paraId="653A8A31" w14:textId="77777777" w:rsidTr="00550F37">
        <w:tc>
          <w:tcPr>
            <w:tcW w:w="3116" w:type="dxa"/>
            <w:vAlign w:val="center"/>
          </w:tcPr>
          <w:p w14:paraId="3DB99890" w14:textId="7BB61434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Oxycodone PO</w:t>
            </w:r>
          </w:p>
        </w:tc>
        <w:tc>
          <w:tcPr>
            <w:tcW w:w="3117" w:type="dxa"/>
            <w:vAlign w:val="center"/>
          </w:tcPr>
          <w:p w14:paraId="141E9E23" w14:textId="0F35FAA0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2 mg</w:t>
            </w:r>
          </w:p>
        </w:tc>
        <w:tc>
          <w:tcPr>
            <w:tcW w:w="3117" w:type="dxa"/>
            <w:vAlign w:val="center"/>
          </w:tcPr>
          <w:p w14:paraId="75A565AD" w14:textId="5E21CCFC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</w:tr>
      <w:tr w:rsidR="00550F37" w14:paraId="050041F0" w14:textId="77777777" w:rsidTr="00550F37">
        <w:tc>
          <w:tcPr>
            <w:tcW w:w="3116" w:type="dxa"/>
            <w:vAlign w:val="center"/>
          </w:tcPr>
          <w:p w14:paraId="11D46CD2" w14:textId="08A59651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Hydrocodone PO</w:t>
            </w:r>
          </w:p>
        </w:tc>
        <w:tc>
          <w:tcPr>
            <w:tcW w:w="3117" w:type="dxa"/>
            <w:vAlign w:val="center"/>
          </w:tcPr>
          <w:p w14:paraId="1D5F60CD" w14:textId="79AA15F1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3 mg</w:t>
            </w:r>
          </w:p>
        </w:tc>
        <w:tc>
          <w:tcPr>
            <w:tcW w:w="3117" w:type="dxa"/>
            <w:vAlign w:val="center"/>
          </w:tcPr>
          <w:p w14:paraId="6F1147E6" w14:textId="5E44AB9B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</w:tr>
      <w:tr w:rsidR="00550F37" w14:paraId="70C35BC3" w14:textId="77777777" w:rsidTr="00550F37">
        <w:tc>
          <w:tcPr>
            <w:tcW w:w="3116" w:type="dxa"/>
            <w:vAlign w:val="center"/>
          </w:tcPr>
          <w:p w14:paraId="75EE3F91" w14:textId="6F4A520B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Ketorolac IV</w:t>
            </w:r>
          </w:p>
        </w:tc>
        <w:tc>
          <w:tcPr>
            <w:tcW w:w="3117" w:type="dxa"/>
            <w:vAlign w:val="center"/>
          </w:tcPr>
          <w:p w14:paraId="5009A465" w14:textId="7044F5C2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2.5 mg</w:t>
            </w:r>
          </w:p>
        </w:tc>
        <w:tc>
          <w:tcPr>
            <w:tcW w:w="3117" w:type="dxa"/>
            <w:vAlign w:val="center"/>
          </w:tcPr>
          <w:p w14:paraId="1CF4A750" w14:textId="0FB403AC" w:rsidR="00550F37" w:rsidRPr="00550F37" w:rsidRDefault="00550F37" w:rsidP="00550F37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37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</w:tc>
      </w:tr>
    </w:tbl>
    <w:p w14:paraId="3259335E" w14:textId="77777777" w:rsidR="00FE40CB" w:rsidRPr="00FE40CB" w:rsidRDefault="00FE40CB" w:rsidP="009B0EF9">
      <w:pPr>
        <w:spacing w:line="60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FE40CB" w:rsidRPr="00FE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5221" w14:textId="77777777" w:rsidR="00A7432F" w:rsidRDefault="00A7432F" w:rsidP="00013951">
      <w:pPr>
        <w:spacing w:after="0" w:line="240" w:lineRule="auto"/>
      </w:pPr>
      <w:r>
        <w:separator/>
      </w:r>
    </w:p>
  </w:endnote>
  <w:endnote w:type="continuationSeparator" w:id="0">
    <w:p w14:paraId="4CE465E6" w14:textId="77777777" w:rsidR="00A7432F" w:rsidRDefault="00A7432F" w:rsidP="00013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2772" w14:textId="77777777" w:rsidR="00A7432F" w:rsidRDefault="00A7432F" w:rsidP="00013951">
      <w:pPr>
        <w:spacing w:after="0" w:line="240" w:lineRule="auto"/>
      </w:pPr>
      <w:r>
        <w:separator/>
      </w:r>
    </w:p>
  </w:footnote>
  <w:footnote w:type="continuationSeparator" w:id="0">
    <w:p w14:paraId="65828D20" w14:textId="77777777" w:rsidR="00A7432F" w:rsidRDefault="00A7432F" w:rsidP="000139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951"/>
    <w:rsid w:val="00013951"/>
    <w:rsid w:val="000903D7"/>
    <w:rsid w:val="000B7ADF"/>
    <w:rsid w:val="00157700"/>
    <w:rsid w:val="001D4DFF"/>
    <w:rsid w:val="0020679E"/>
    <w:rsid w:val="00207177"/>
    <w:rsid w:val="002F4C9E"/>
    <w:rsid w:val="00403FB4"/>
    <w:rsid w:val="00550F37"/>
    <w:rsid w:val="00580333"/>
    <w:rsid w:val="006258A5"/>
    <w:rsid w:val="00893F22"/>
    <w:rsid w:val="008C674E"/>
    <w:rsid w:val="00973762"/>
    <w:rsid w:val="009B0EF9"/>
    <w:rsid w:val="009B5130"/>
    <w:rsid w:val="00A7432F"/>
    <w:rsid w:val="00A80C4B"/>
    <w:rsid w:val="00A85740"/>
    <w:rsid w:val="00AA2761"/>
    <w:rsid w:val="00AD00E2"/>
    <w:rsid w:val="00AF5AD7"/>
    <w:rsid w:val="00B44569"/>
    <w:rsid w:val="00D208F1"/>
    <w:rsid w:val="00D867B0"/>
    <w:rsid w:val="00DD717A"/>
    <w:rsid w:val="00EC007C"/>
    <w:rsid w:val="00FE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172306"/>
  <w15:chartTrackingRefBased/>
  <w15:docId w15:val="{8DA04FBD-C538-4CFF-AE44-1B6CEC69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951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3F22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character" w:styleId="Strong">
    <w:name w:val="Strong"/>
    <w:basedOn w:val="DefaultParagraphFont"/>
    <w:uiPriority w:val="22"/>
    <w:qFormat/>
    <w:rsid w:val="00893F22"/>
    <w:rPr>
      <w:b/>
      <w:bCs/>
    </w:rPr>
  </w:style>
  <w:style w:type="table" w:styleId="TableGrid">
    <w:name w:val="Table Grid"/>
    <w:basedOn w:val="TableNormal"/>
    <w:uiPriority w:val="39"/>
    <w:rsid w:val="00550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85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normaltextrun">
    <w:name w:val="normaltextrun"/>
    <w:basedOn w:val="DefaultParagraphFont"/>
    <w:rsid w:val="00A85740"/>
  </w:style>
  <w:style w:type="character" w:customStyle="1" w:styleId="eop">
    <w:name w:val="eop"/>
    <w:basedOn w:val="DefaultParagraphFont"/>
    <w:rsid w:val="00A8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5419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Main Line Health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Dokollari, Aleksander</dc:creator>
  <cp:keywords/>
  <dc:description/>
  <cp:lastModifiedBy>Dokollari, Aleksander</cp:lastModifiedBy>
  <cp:revision>15</cp:revision>
  <dcterms:created xsi:type="dcterms:W3CDTF">2022-12-23T19:49:00Z</dcterms:created>
  <dcterms:modified xsi:type="dcterms:W3CDTF">2023-01-25T16:02:00Z</dcterms:modified>
</cp:coreProperties>
</file>